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76AF" w:rsidRDefault="001D76AF" w:rsidP="001D76AF">
      <w:pPr>
        <w:spacing w:line="480" w:lineRule="auto"/>
        <w:rPr>
          <w:rFonts w:ascii="Times New Roman" w:hAnsi="Times New Roman" w:cs="Times New Roman"/>
          <w:sz w:val="24"/>
          <w:szCs w:val="24"/>
        </w:rPr>
      </w:pPr>
    </w:p>
    <w:p w:rsidR="001D76AF" w:rsidRDefault="001D76AF" w:rsidP="001D76AF">
      <w:pPr>
        <w:spacing w:line="480" w:lineRule="auto"/>
        <w:rPr>
          <w:rFonts w:ascii="Times New Roman" w:hAnsi="Times New Roman" w:cs="Times New Roman"/>
          <w:sz w:val="24"/>
          <w:szCs w:val="24"/>
        </w:rPr>
      </w:pPr>
    </w:p>
    <w:p w:rsidR="001D76AF" w:rsidRDefault="001D76AF" w:rsidP="001D76AF">
      <w:pPr>
        <w:spacing w:line="480" w:lineRule="auto"/>
        <w:rPr>
          <w:rFonts w:ascii="Times New Roman" w:hAnsi="Times New Roman" w:cs="Times New Roman"/>
          <w:sz w:val="24"/>
          <w:szCs w:val="24"/>
        </w:rPr>
      </w:pPr>
    </w:p>
    <w:p w:rsidR="001D76AF" w:rsidRDefault="001D76AF" w:rsidP="001D76AF">
      <w:pPr>
        <w:spacing w:line="480" w:lineRule="auto"/>
        <w:rPr>
          <w:rFonts w:ascii="Times New Roman" w:hAnsi="Times New Roman" w:cs="Times New Roman"/>
          <w:sz w:val="24"/>
          <w:szCs w:val="24"/>
        </w:rPr>
      </w:pPr>
    </w:p>
    <w:p w:rsidR="001D76AF" w:rsidRDefault="001D76AF" w:rsidP="001D76AF">
      <w:pPr>
        <w:spacing w:line="480" w:lineRule="auto"/>
        <w:rPr>
          <w:rFonts w:ascii="Times New Roman" w:hAnsi="Times New Roman" w:cs="Times New Roman"/>
          <w:sz w:val="24"/>
          <w:szCs w:val="24"/>
        </w:rPr>
      </w:pPr>
    </w:p>
    <w:p w:rsidR="001D76AF" w:rsidRDefault="001D76AF" w:rsidP="001D76AF">
      <w:pPr>
        <w:spacing w:line="480" w:lineRule="auto"/>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p>
    <w:p w:rsidR="001D76AF" w:rsidRDefault="001D76AF" w:rsidP="005104CC">
      <w:pPr>
        <w:spacing w:line="480" w:lineRule="auto"/>
        <w:jc w:val="center"/>
        <w:rPr>
          <w:rFonts w:ascii="Times New Roman" w:hAnsi="Times New Roman" w:cs="Times New Roman"/>
          <w:sz w:val="24"/>
          <w:szCs w:val="24"/>
        </w:rPr>
      </w:pPr>
      <w:r>
        <w:rPr>
          <w:rFonts w:ascii="Times New Roman" w:hAnsi="Times New Roman" w:cs="Times New Roman"/>
          <w:sz w:val="24"/>
          <w:szCs w:val="24"/>
        </w:rPr>
        <w:t>EEOC and Labor Relations Laws</w:t>
      </w:r>
    </w:p>
    <w:p w:rsidR="001D76AF" w:rsidRDefault="001D76AF" w:rsidP="001D76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D76AF" w:rsidRDefault="001D76AF" w:rsidP="001D76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1D76AF" w:rsidRDefault="001D76AF" w:rsidP="001D76AF">
      <w:pPr>
        <w:spacing w:line="480" w:lineRule="auto"/>
        <w:jc w:val="center"/>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p>
    <w:p w:rsidR="005104CC" w:rsidRDefault="005104CC" w:rsidP="001D76AF">
      <w:pPr>
        <w:spacing w:line="480" w:lineRule="auto"/>
        <w:jc w:val="center"/>
        <w:rPr>
          <w:rFonts w:ascii="Times New Roman" w:hAnsi="Times New Roman" w:cs="Times New Roman"/>
          <w:sz w:val="24"/>
          <w:szCs w:val="24"/>
        </w:rPr>
      </w:pPr>
    </w:p>
    <w:p w:rsidR="005104CC" w:rsidRDefault="005104CC" w:rsidP="001D76AF">
      <w:pPr>
        <w:spacing w:line="480" w:lineRule="auto"/>
        <w:jc w:val="center"/>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EEOC and Labor Relations Laws</w:t>
      </w:r>
    </w:p>
    <w:p w:rsidR="003A330E" w:rsidRDefault="002946D9" w:rsidP="003A33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law, wrongful acquittal, discharge or termination from employment for an employee by the employer, where there is a breach of terms as stipulated by any rule as may be contained in employment law, or a provision in a stature or in a contract of employment may warrant  warrants for the rule of law to apply. </w:t>
      </w:r>
      <w:r w:rsidR="00004E1F">
        <w:rPr>
          <w:rFonts w:ascii="Times New Roman" w:hAnsi="Times New Roman" w:cs="Times New Roman"/>
          <w:sz w:val="24"/>
          <w:szCs w:val="24"/>
        </w:rPr>
        <w:t>In the case provided, the employee</w:t>
      </w:r>
      <w:r w:rsidR="003A330E">
        <w:rPr>
          <w:rFonts w:ascii="Times New Roman" w:hAnsi="Times New Roman" w:cs="Times New Roman"/>
          <w:sz w:val="24"/>
          <w:szCs w:val="24"/>
        </w:rPr>
        <w:t>’s reason for termination is unwarranted. As provided by the law, termination is a continual process and employers should have come up with a due process of terminating the employee</w:t>
      </w:r>
      <w:r w:rsidR="009611A4">
        <w:rPr>
          <w:rFonts w:ascii="Times New Roman" w:hAnsi="Times New Roman" w:cs="Times New Roman"/>
          <w:sz w:val="24"/>
          <w:szCs w:val="24"/>
        </w:rPr>
        <w:t xml:space="preserve"> (Burn, 2018)</w:t>
      </w:r>
      <w:r w:rsidR="003A330E">
        <w:rPr>
          <w:rFonts w:ascii="Times New Roman" w:hAnsi="Times New Roman" w:cs="Times New Roman"/>
          <w:sz w:val="24"/>
          <w:szCs w:val="24"/>
        </w:rPr>
        <w:t xml:space="preserve">. Also, the termination of an employee should be independently and carefully reviewed ahead of termination by </w:t>
      </w:r>
      <w:r w:rsidR="005D3747">
        <w:rPr>
          <w:rFonts w:ascii="Times New Roman" w:hAnsi="Times New Roman" w:cs="Times New Roman"/>
          <w:sz w:val="24"/>
          <w:szCs w:val="24"/>
        </w:rPr>
        <w:t>a</w:t>
      </w:r>
      <w:r w:rsidR="003A330E">
        <w:rPr>
          <w:rFonts w:ascii="Times New Roman" w:hAnsi="Times New Roman" w:cs="Times New Roman"/>
          <w:sz w:val="24"/>
          <w:szCs w:val="24"/>
        </w:rPr>
        <w:t xml:space="preserve"> legal counsel, supervisor or an individual within a human resource department. This is in t</w:t>
      </w:r>
      <w:r w:rsidR="005D3747">
        <w:rPr>
          <w:rFonts w:ascii="Times New Roman" w:hAnsi="Times New Roman" w:cs="Times New Roman"/>
          <w:sz w:val="24"/>
          <w:szCs w:val="24"/>
        </w:rPr>
        <w:t>he review of the reason as to why the employee should be terminated from employment.</w:t>
      </w:r>
    </w:p>
    <w:p w:rsidR="005D3747" w:rsidRDefault="005D3747" w:rsidP="003A33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In light of the above, the employee should strive to file a charge with the EEOC, upon which an investigation will be thrust forward, and if the evidence or inquiry into the matter shows strong evidence then the matter may be settle in court or by both parties amicably. If the matter is to be settle in court, and employment discrimination is identified then the employee may be subject to hiring, back pay, front pay, reasonable accommodation, or reinstatement</w:t>
      </w:r>
      <w:r w:rsidR="009611A4">
        <w:rPr>
          <w:rFonts w:ascii="Times New Roman" w:hAnsi="Times New Roman" w:cs="Times New Roman"/>
          <w:sz w:val="24"/>
          <w:szCs w:val="24"/>
        </w:rPr>
        <w:t xml:space="preserve"> (Burn, 2018)</w:t>
      </w:r>
      <w:r>
        <w:rPr>
          <w:rFonts w:ascii="Times New Roman" w:hAnsi="Times New Roman" w:cs="Times New Roman"/>
          <w:sz w:val="24"/>
          <w:szCs w:val="24"/>
        </w:rPr>
        <w:t>. Additionally, in the case of intentional discrimination the EEOC may order for the employer to settle punitive and compensatory damages. The employer in the same sense is expected to take a preventive or corrective measure in preventing wrongful discharge of an employee.</w:t>
      </w:r>
    </w:p>
    <w:p w:rsidR="005104CC" w:rsidRDefault="005104CC" w:rsidP="003A330E">
      <w:pPr>
        <w:spacing w:line="480" w:lineRule="auto"/>
        <w:ind w:firstLine="720"/>
        <w:jc w:val="both"/>
        <w:rPr>
          <w:rFonts w:ascii="Times New Roman" w:hAnsi="Times New Roman" w:cs="Times New Roman"/>
          <w:sz w:val="24"/>
          <w:szCs w:val="24"/>
        </w:rPr>
      </w:pPr>
    </w:p>
    <w:p w:rsidR="005104CC" w:rsidRDefault="005104CC" w:rsidP="003A330E">
      <w:pPr>
        <w:spacing w:line="480" w:lineRule="auto"/>
        <w:ind w:firstLine="720"/>
        <w:jc w:val="both"/>
        <w:rPr>
          <w:rFonts w:ascii="Times New Roman" w:hAnsi="Times New Roman" w:cs="Times New Roman"/>
          <w:sz w:val="24"/>
          <w:szCs w:val="24"/>
        </w:rPr>
      </w:pPr>
    </w:p>
    <w:p w:rsidR="005104CC" w:rsidRDefault="005104CC" w:rsidP="003A330E">
      <w:pPr>
        <w:spacing w:line="480" w:lineRule="auto"/>
        <w:ind w:firstLine="720"/>
        <w:jc w:val="both"/>
        <w:rPr>
          <w:rFonts w:ascii="Times New Roman" w:hAnsi="Times New Roman" w:cs="Times New Roman"/>
          <w:sz w:val="24"/>
          <w:szCs w:val="24"/>
        </w:rPr>
      </w:pPr>
    </w:p>
    <w:p w:rsidR="001935EF" w:rsidRDefault="003536AB" w:rsidP="003A33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the same sense, the EEOC has provided for a set of laws upon which potential employees are not discriminated. According to the Age Discrimination in Employment Act of the year 1967, provides that the law protects discrimination against employment for any individual who is past the age of forty years old</w:t>
      </w:r>
      <w:r w:rsidR="009611A4">
        <w:rPr>
          <w:rFonts w:ascii="Times New Roman" w:hAnsi="Times New Roman" w:cs="Times New Roman"/>
          <w:sz w:val="24"/>
          <w:szCs w:val="24"/>
        </w:rPr>
        <w:t xml:space="preserve"> (Blankton and Peksten, 2019)</w:t>
      </w:r>
      <w:r>
        <w:rPr>
          <w:rFonts w:ascii="Times New Roman" w:hAnsi="Times New Roman" w:cs="Times New Roman"/>
          <w:sz w:val="24"/>
          <w:szCs w:val="24"/>
        </w:rPr>
        <w:t xml:space="preserve">. </w:t>
      </w:r>
      <w:r w:rsidR="001935EF">
        <w:rPr>
          <w:rFonts w:ascii="Times New Roman" w:hAnsi="Times New Roman" w:cs="Times New Roman"/>
          <w:sz w:val="24"/>
          <w:szCs w:val="24"/>
        </w:rPr>
        <w:t>Mainly, this provision applies during the process of hiring where an employer may not be hired due to their age. The above is cited from the fact that employers are not supposed to have assumptions or stereotypes of an individual ahead of making their hiring decisions.</w:t>
      </w:r>
    </w:p>
    <w:p w:rsidR="009611A4" w:rsidRDefault="001935EF" w:rsidP="003A33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As for the case provided, the interviewer is at fault with regards to hiring the veteran in question. Mainly, this is attributed by their unseemly gesture to the employee. In this regard, ahead of allowing things to go out of hand, there is a need by the HR department of All Souls Hospital to review the hiring process that the interviewers may have utilized. In this regard, All Souls hospital might consider an outside of court agreement. Also, the organization might also consider the need to hire the discriminated veteran for the role that they were looking for. The CEO might also consider the need to acquaint interviewers’ in the future on labor laws and the EEOC on discriminations in the hiring process of employees</w:t>
      </w:r>
      <w:r w:rsidR="009611A4">
        <w:rPr>
          <w:rFonts w:ascii="Times New Roman" w:hAnsi="Times New Roman" w:cs="Times New Roman"/>
          <w:sz w:val="24"/>
          <w:szCs w:val="24"/>
        </w:rPr>
        <w:t xml:space="preserve"> (Blankton and Peksten, 2019)</w:t>
      </w:r>
      <w:r>
        <w:rPr>
          <w:rFonts w:ascii="Times New Roman" w:hAnsi="Times New Roman" w:cs="Times New Roman"/>
          <w:sz w:val="24"/>
          <w:szCs w:val="24"/>
        </w:rPr>
        <w:t xml:space="preserve">. Also, the CEO may also consider the need to be all inclusive in the workplace with a view of developing a culture that is not stereotypical of the people who can and cannot work in the organization.  </w:t>
      </w: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bookmarkStart w:id="0" w:name="_GoBack"/>
      <w:bookmarkEnd w:id="0"/>
    </w:p>
    <w:p w:rsidR="009611A4" w:rsidRDefault="009611A4" w:rsidP="009611A4">
      <w:pPr>
        <w:spacing w:line="480" w:lineRule="auto"/>
        <w:jc w:val="both"/>
        <w:rPr>
          <w:rFonts w:ascii="Times New Roman" w:hAnsi="Times New Roman" w:cs="Times New Roman"/>
          <w:sz w:val="24"/>
          <w:szCs w:val="24"/>
        </w:rPr>
      </w:pPr>
    </w:p>
    <w:p w:rsidR="009611A4" w:rsidRDefault="009611A4" w:rsidP="009611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611A4" w:rsidRDefault="009611A4" w:rsidP="009611A4">
      <w:pPr>
        <w:pStyle w:val="cpformat"/>
        <w:shd w:val="clear" w:color="auto" w:fill="FFFFFF"/>
        <w:spacing w:before="0" w:beforeAutospacing="0" w:after="0" w:afterAutospacing="0" w:line="480" w:lineRule="auto"/>
        <w:ind w:left="720" w:right="72" w:hanging="720"/>
        <w:jc w:val="both"/>
        <w:rPr>
          <w:color w:val="000000"/>
        </w:rPr>
      </w:pPr>
      <w:r>
        <w:rPr>
          <w:color w:val="000000"/>
        </w:rPr>
        <w:t>Blanton, R. G., &amp; Peksen, D. (2019). Labor Laws and Shadow Economies: A Cross-National Assessment. </w:t>
      </w:r>
      <w:r>
        <w:rPr>
          <w:rStyle w:val="Emphasis"/>
          <w:color w:val="000000"/>
        </w:rPr>
        <w:t>Social Science Quarterly</w:t>
      </w:r>
      <w:r>
        <w:rPr>
          <w:color w:val="000000"/>
        </w:rPr>
        <w:t>. doi:10.1111/ssqu.12685</w:t>
      </w:r>
    </w:p>
    <w:p w:rsidR="009611A4" w:rsidRDefault="009611A4" w:rsidP="009611A4">
      <w:pPr>
        <w:pStyle w:val="cpformat"/>
        <w:shd w:val="clear" w:color="auto" w:fill="FFFFFF"/>
        <w:spacing w:before="0" w:beforeAutospacing="0" w:after="0" w:afterAutospacing="0" w:line="480" w:lineRule="auto"/>
        <w:ind w:left="720" w:right="72" w:hanging="720"/>
        <w:jc w:val="both"/>
        <w:rPr>
          <w:color w:val="000000"/>
        </w:rPr>
      </w:pPr>
      <w:r>
        <w:rPr>
          <w:color w:val="000000"/>
        </w:rPr>
        <w:t>Burn, I. (2018). Not All Laws are Created Equal: Legal Differences in State Non-Discrimination Laws and the Impact of LGBT Employment Protections. </w:t>
      </w:r>
      <w:r>
        <w:rPr>
          <w:rStyle w:val="Emphasis"/>
          <w:color w:val="000000"/>
        </w:rPr>
        <w:t>Journal of Labor Research</w:t>
      </w:r>
      <w:r>
        <w:rPr>
          <w:color w:val="000000"/>
        </w:rPr>
        <w:t>, </w:t>
      </w:r>
      <w:r>
        <w:rPr>
          <w:rStyle w:val="Emphasis"/>
          <w:color w:val="000000"/>
        </w:rPr>
        <w:t>39</w:t>
      </w:r>
      <w:r>
        <w:rPr>
          <w:color w:val="000000"/>
        </w:rPr>
        <w:t>(4), 462-497. doi:10.1007/s12122-018-9272-0</w:t>
      </w:r>
    </w:p>
    <w:p w:rsidR="009611A4" w:rsidRDefault="009611A4" w:rsidP="009611A4">
      <w:pPr>
        <w:spacing w:line="480" w:lineRule="auto"/>
        <w:ind w:firstLine="720"/>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9611A4" w:rsidRDefault="009611A4" w:rsidP="003A330E">
      <w:pPr>
        <w:spacing w:line="480" w:lineRule="auto"/>
        <w:ind w:firstLine="720"/>
        <w:jc w:val="both"/>
        <w:rPr>
          <w:rFonts w:ascii="Times New Roman" w:hAnsi="Times New Roman" w:cs="Times New Roman"/>
          <w:sz w:val="24"/>
          <w:szCs w:val="24"/>
        </w:rPr>
      </w:pPr>
    </w:p>
    <w:p w:rsidR="003536AB" w:rsidRDefault="001935EF" w:rsidP="003A330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1D76AF" w:rsidRDefault="001D76AF" w:rsidP="001D76AF">
      <w:pPr>
        <w:spacing w:line="480" w:lineRule="auto"/>
        <w:jc w:val="center"/>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p>
    <w:p w:rsidR="001D76AF" w:rsidRDefault="001D76AF" w:rsidP="001D76AF">
      <w:pPr>
        <w:spacing w:line="480" w:lineRule="auto"/>
        <w:jc w:val="center"/>
        <w:rPr>
          <w:rFonts w:ascii="Times New Roman" w:hAnsi="Times New Roman" w:cs="Times New Roman"/>
          <w:sz w:val="24"/>
          <w:szCs w:val="24"/>
        </w:rPr>
      </w:pPr>
    </w:p>
    <w:p w:rsidR="001D76AF" w:rsidRPr="009E38FA" w:rsidRDefault="001D76AF" w:rsidP="001D76AF">
      <w:pPr>
        <w:spacing w:line="480" w:lineRule="auto"/>
        <w:jc w:val="center"/>
        <w:rPr>
          <w:rFonts w:ascii="Times New Roman" w:hAnsi="Times New Roman" w:cs="Times New Roman"/>
          <w:sz w:val="24"/>
          <w:szCs w:val="24"/>
        </w:rPr>
      </w:pPr>
    </w:p>
    <w:sectPr w:rsidR="001D76AF" w:rsidRPr="009E38FA" w:rsidSect="001D76AF">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69C" w:rsidRDefault="008A069C" w:rsidP="009E38FA">
      <w:pPr>
        <w:spacing w:after="0" w:line="240" w:lineRule="auto"/>
      </w:pPr>
      <w:r>
        <w:separator/>
      </w:r>
    </w:p>
  </w:endnote>
  <w:endnote w:type="continuationSeparator" w:id="0">
    <w:p w:rsidR="008A069C" w:rsidRDefault="008A069C" w:rsidP="009E3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69C" w:rsidRDefault="008A069C" w:rsidP="009E38FA">
      <w:pPr>
        <w:spacing w:after="0" w:line="240" w:lineRule="auto"/>
      </w:pPr>
      <w:r>
        <w:separator/>
      </w:r>
    </w:p>
  </w:footnote>
  <w:footnote w:type="continuationSeparator" w:id="0">
    <w:p w:rsidR="008A069C" w:rsidRDefault="008A069C" w:rsidP="009E38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688215415"/>
      <w:docPartObj>
        <w:docPartGallery w:val="Page Numbers (Top of Page)"/>
        <w:docPartUnique/>
      </w:docPartObj>
    </w:sdtPr>
    <w:sdtEndPr>
      <w:rPr>
        <w:noProof/>
      </w:rPr>
    </w:sdtEndPr>
    <w:sdtContent>
      <w:p w:rsidR="003536AB" w:rsidRPr="001D76AF" w:rsidRDefault="003536AB" w:rsidP="001D76AF">
        <w:pPr>
          <w:pStyle w:val="Header"/>
          <w:rPr>
            <w:rFonts w:ascii="Times New Roman" w:hAnsi="Times New Roman" w:cs="Times New Roman"/>
            <w:sz w:val="24"/>
            <w:szCs w:val="24"/>
          </w:rPr>
        </w:pPr>
        <w:r w:rsidRPr="001D76AF">
          <w:rPr>
            <w:rFonts w:ascii="Times New Roman" w:hAnsi="Times New Roman" w:cs="Times New Roman"/>
            <w:sz w:val="24"/>
            <w:szCs w:val="24"/>
          </w:rPr>
          <w:t>LABOR LAWS</w:t>
        </w:r>
        <w:r>
          <w:rPr>
            <w:rFonts w:ascii="Times New Roman" w:hAnsi="Times New Roman" w:cs="Times New Roman"/>
            <w:sz w:val="24"/>
            <w:szCs w:val="24"/>
          </w:rPr>
          <w:t xml:space="preserve">                                                                                                                                </w:t>
        </w:r>
        <w:r w:rsidRPr="001D76AF">
          <w:rPr>
            <w:rFonts w:ascii="Times New Roman" w:hAnsi="Times New Roman" w:cs="Times New Roman"/>
            <w:sz w:val="24"/>
            <w:szCs w:val="24"/>
          </w:rPr>
          <w:fldChar w:fldCharType="begin"/>
        </w:r>
        <w:r w:rsidRPr="001D76AF">
          <w:rPr>
            <w:rFonts w:ascii="Times New Roman" w:hAnsi="Times New Roman" w:cs="Times New Roman"/>
            <w:sz w:val="24"/>
            <w:szCs w:val="24"/>
          </w:rPr>
          <w:instrText xml:space="preserve"> PAGE   \* MERGEFORMAT </w:instrText>
        </w:r>
        <w:r w:rsidRPr="001D76AF">
          <w:rPr>
            <w:rFonts w:ascii="Times New Roman" w:hAnsi="Times New Roman" w:cs="Times New Roman"/>
            <w:sz w:val="24"/>
            <w:szCs w:val="24"/>
          </w:rPr>
          <w:fldChar w:fldCharType="separate"/>
        </w:r>
        <w:r w:rsidR="005104CC">
          <w:rPr>
            <w:rFonts w:ascii="Times New Roman" w:hAnsi="Times New Roman" w:cs="Times New Roman"/>
            <w:noProof/>
            <w:sz w:val="24"/>
            <w:szCs w:val="24"/>
          </w:rPr>
          <w:t>3</w:t>
        </w:r>
        <w:r w:rsidRPr="001D76AF">
          <w:rPr>
            <w:rFonts w:ascii="Times New Roman" w:hAnsi="Times New Roman" w:cs="Times New Roman"/>
            <w:noProof/>
            <w:sz w:val="24"/>
            <w:szCs w:val="24"/>
          </w:rPr>
          <w:fldChar w:fldCharType="end"/>
        </w:r>
      </w:p>
    </w:sdtContent>
  </w:sdt>
  <w:p w:rsidR="003536AB" w:rsidRPr="001D76AF" w:rsidRDefault="003536A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000622910"/>
      <w:docPartObj>
        <w:docPartGallery w:val="Page Numbers (Top of Page)"/>
        <w:docPartUnique/>
      </w:docPartObj>
    </w:sdtPr>
    <w:sdtEndPr>
      <w:rPr>
        <w:noProof/>
      </w:rPr>
    </w:sdtEndPr>
    <w:sdtContent>
      <w:p w:rsidR="003536AB" w:rsidRPr="001D76AF" w:rsidRDefault="003536AB" w:rsidP="001D76AF">
        <w:pPr>
          <w:pStyle w:val="Header"/>
          <w:rPr>
            <w:rFonts w:ascii="Times New Roman" w:hAnsi="Times New Roman" w:cs="Times New Roman"/>
            <w:sz w:val="24"/>
            <w:szCs w:val="24"/>
          </w:rPr>
        </w:pPr>
        <w:r w:rsidRPr="001D76AF">
          <w:rPr>
            <w:rFonts w:ascii="Times New Roman" w:hAnsi="Times New Roman" w:cs="Times New Roman"/>
            <w:sz w:val="24"/>
            <w:szCs w:val="24"/>
          </w:rPr>
          <w:t>Running head: LABOR LAWS</w:t>
        </w:r>
        <w:r>
          <w:rPr>
            <w:rFonts w:ascii="Times New Roman" w:hAnsi="Times New Roman" w:cs="Times New Roman"/>
            <w:sz w:val="24"/>
            <w:szCs w:val="24"/>
          </w:rPr>
          <w:t xml:space="preserve">                                                                                                     </w:t>
        </w:r>
        <w:r w:rsidRPr="001D76AF">
          <w:rPr>
            <w:rFonts w:ascii="Times New Roman" w:hAnsi="Times New Roman" w:cs="Times New Roman"/>
            <w:sz w:val="24"/>
            <w:szCs w:val="24"/>
          </w:rPr>
          <w:t xml:space="preserve">  </w:t>
        </w:r>
        <w:r w:rsidRPr="001D76AF">
          <w:rPr>
            <w:rFonts w:ascii="Times New Roman" w:hAnsi="Times New Roman" w:cs="Times New Roman"/>
            <w:sz w:val="24"/>
            <w:szCs w:val="24"/>
          </w:rPr>
          <w:fldChar w:fldCharType="begin"/>
        </w:r>
        <w:r w:rsidRPr="001D76AF">
          <w:rPr>
            <w:rFonts w:ascii="Times New Roman" w:hAnsi="Times New Roman" w:cs="Times New Roman"/>
            <w:sz w:val="24"/>
            <w:szCs w:val="24"/>
          </w:rPr>
          <w:instrText xml:space="preserve"> PAGE   \* MERGEFORMAT </w:instrText>
        </w:r>
        <w:r w:rsidRPr="001D76AF">
          <w:rPr>
            <w:rFonts w:ascii="Times New Roman" w:hAnsi="Times New Roman" w:cs="Times New Roman"/>
            <w:sz w:val="24"/>
            <w:szCs w:val="24"/>
          </w:rPr>
          <w:fldChar w:fldCharType="separate"/>
        </w:r>
        <w:r w:rsidR="005104CC">
          <w:rPr>
            <w:rFonts w:ascii="Times New Roman" w:hAnsi="Times New Roman" w:cs="Times New Roman"/>
            <w:noProof/>
            <w:sz w:val="24"/>
            <w:szCs w:val="24"/>
          </w:rPr>
          <w:t>1</w:t>
        </w:r>
        <w:r w:rsidRPr="001D76AF">
          <w:rPr>
            <w:rFonts w:ascii="Times New Roman" w:hAnsi="Times New Roman" w:cs="Times New Roman"/>
            <w:noProof/>
            <w:sz w:val="24"/>
            <w:szCs w:val="24"/>
          </w:rPr>
          <w:fldChar w:fldCharType="end"/>
        </w:r>
      </w:p>
    </w:sdtContent>
  </w:sdt>
  <w:p w:rsidR="003536AB" w:rsidRPr="001D76AF" w:rsidRDefault="003536A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S0NDIzNbI0Nra0NDRW0lEKTi0uzszPAykwrAUAowb/iCwAAAA="/>
  </w:docVars>
  <w:rsids>
    <w:rsidRoot w:val="009E38FA"/>
    <w:rsid w:val="00004E1F"/>
    <w:rsid w:val="001935EF"/>
    <w:rsid w:val="001A353A"/>
    <w:rsid w:val="001D76AF"/>
    <w:rsid w:val="002946D9"/>
    <w:rsid w:val="003536AB"/>
    <w:rsid w:val="003A330E"/>
    <w:rsid w:val="005104CC"/>
    <w:rsid w:val="005D3747"/>
    <w:rsid w:val="008A069C"/>
    <w:rsid w:val="008E7E79"/>
    <w:rsid w:val="009611A4"/>
    <w:rsid w:val="009E38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66418"/>
  <w15:docId w15:val="{46401AEA-3A57-483E-B7DD-A7CFA368F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38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38FA"/>
  </w:style>
  <w:style w:type="paragraph" w:styleId="Footer">
    <w:name w:val="footer"/>
    <w:basedOn w:val="Normal"/>
    <w:link w:val="FooterChar"/>
    <w:uiPriority w:val="99"/>
    <w:unhideWhenUsed/>
    <w:rsid w:val="009E38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38FA"/>
  </w:style>
  <w:style w:type="paragraph" w:styleId="NoSpacing">
    <w:name w:val="No Spacing"/>
    <w:link w:val="NoSpacingChar"/>
    <w:uiPriority w:val="1"/>
    <w:qFormat/>
    <w:rsid w:val="001D76AF"/>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1D76AF"/>
    <w:rPr>
      <w:rFonts w:eastAsiaTheme="minorEastAsia"/>
      <w:lang w:eastAsia="ja-JP"/>
    </w:rPr>
  </w:style>
  <w:style w:type="paragraph" w:styleId="BalloonText">
    <w:name w:val="Balloon Text"/>
    <w:basedOn w:val="Normal"/>
    <w:link w:val="BalloonTextChar"/>
    <w:uiPriority w:val="99"/>
    <w:semiHidden/>
    <w:unhideWhenUsed/>
    <w:rsid w:val="001D76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6AF"/>
    <w:rPr>
      <w:rFonts w:ascii="Tahoma" w:hAnsi="Tahoma" w:cs="Tahoma"/>
      <w:sz w:val="16"/>
      <w:szCs w:val="16"/>
    </w:rPr>
  </w:style>
  <w:style w:type="paragraph" w:customStyle="1" w:styleId="cpformat">
    <w:name w:val="cpformat"/>
    <w:basedOn w:val="Normal"/>
    <w:rsid w:val="009611A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9611A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20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544</Words>
  <Characters>3101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 Dismuz</cp:lastModifiedBy>
  <cp:revision>6</cp:revision>
  <dcterms:created xsi:type="dcterms:W3CDTF">2019-11-25T21:57:00Z</dcterms:created>
  <dcterms:modified xsi:type="dcterms:W3CDTF">2019-11-25T23:18:00Z</dcterms:modified>
</cp:coreProperties>
</file>